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6"/>
        <w:gridCol w:w="8544"/>
      </w:tblGrid>
      <w:tr w:rsidR="00F365C9" w14:paraId="57E3E3AF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4721"/>
            <w:tcMar>
              <w:top w:w="190" w:type="dxa"/>
              <w:left w:w="576" w:type="dxa"/>
              <w:bottom w:w="190" w:type="dxa"/>
              <w:right w:w="0" w:type="dxa"/>
            </w:tcMar>
            <w:vAlign w:val="center"/>
          </w:tcPr>
          <w:p w14:paraId="799EE586" w14:textId="77777777" w:rsidR="00F365C9" w:rsidRDefault="00000000">
            <w:r>
              <w:rPr>
                <w:noProof/>
              </w:rPr>
              <w:drawing>
                <wp:inline distT="0" distB="0" distL="0" distR="0" wp14:anchorId="2EDE2B93" wp14:editId="1C3A82CB">
                  <wp:extent cx="1066800" cy="6667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4721"/>
            <w:tcMar>
              <w:top w:w="0" w:type="dxa"/>
              <w:left w:w="220" w:type="dxa"/>
              <w:bottom w:w="0" w:type="dxa"/>
              <w:right w:w="576" w:type="dxa"/>
            </w:tcMar>
            <w:vAlign w:val="center"/>
          </w:tcPr>
          <w:p w14:paraId="5FD8407D" w14:textId="77777777" w:rsidR="00F365C9" w:rsidRDefault="00000000">
            <w:pPr>
              <w:spacing w:before="260" w:after="60"/>
            </w:pPr>
            <w:r>
              <w:rPr>
                <w:rFonts w:ascii="Georgia" w:eastAsia="Georgia" w:hAnsi="Georgia" w:cs="Georgia"/>
                <w:b/>
                <w:bCs/>
                <w:color w:val="A9C98A"/>
                <w:sz w:val="22"/>
                <w:szCs w:val="22"/>
              </w:rPr>
              <w:t>PEAK PERFORMANCE ADVISOR CONSULTING</w:t>
            </w:r>
          </w:p>
          <w:p w14:paraId="062ED58E" w14:textId="77777777" w:rsidR="00F365C9" w:rsidRDefault="00000000">
            <w:pPr>
              <w:spacing w:after="60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48"/>
                <w:szCs w:val="48"/>
              </w:rPr>
              <w:t>Coaching for Financial Advisors Who Want to Grow</w:t>
            </w:r>
          </w:p>
          <w:p w14:paraId="4DC34967" w14:textId="77777777" w:rsidR="00F365C9" w:rsidRDefault="00000000">
            <w:pPr>
              <w:spacing w:after="200"/>
            </w:pPr>
            <w:r>
              <w:rPr>
                <w:rFonts w:ascii="Georgia" w:eastAsia="Georgia" w:hAnsi="Georgia" w:cs="Georgia"/>
                <w:i/>
                <w:iCs/>
                <w:color w:val="F1F5EC"/>
                <w:sz w:val="23"/>
                <w:szCs w:val="23"/>
              </w:rPr>
              <w:t xml:space="preserve">20+ Years in Financial </w:t>
            </w:r>
            <w:proofErr w:type="gramStart"/>
            <w:r>
              <w:rPr>
                <w:rFonts w:ascii="Georgia" w:eastAsia="Georgia" w:hAnsi="Georgia" w:cs="Georgia"/>
                <w:i/>
                <w:iCs/>
                <w:color w:val="F1F5EC"/>
                <w:sz w:val="23"/>
                <w:szCs w:val="23"/>
              </w:rPr>
              <w:t>Leadership  •</w:t>
            </w:r>
            <w:proofErr w:type="gramEnd"/>
            <w:r>
              <w:rPr>
                <w:rFonts w:ascii="Georgia" w:eastAsia="Georgia" w:hAnsi="Georgia" w:cs="Georgia"/>
                <w:i/>
                <w:iCs/>
                <w:color w:val="F1F5EC"/>
                <w:sz w:val="23"/>
                <w:szCs w:val="23"/>
              </w:rPr>
              <w:t xml:space="preserve">  Strategist, Coach &amp; Trusted Partner to Advisors</w:t>
            </w:r>
          </w:p>
        </w:tc>
      </w:tr>
    </w:tbl>
    <w:p w14:paraId="5CA2A6A9" w14:textId="77777777" w:rsidR="00F365C9" w:rsidRDefault="00F365C9">
      <w:pPr>
        <w:spacing w:after="60"/>
      </w:pPr>
    </w:p>
    <w:p w14:paraId="66E0856C" w14:textId="77777777" w:rsidR="00F365C9" w:rsidRDefault="00000000">
      <w:pPr>
        <w:pBdr>
          <w:bottom w:val="single" w:sz="6" w:space="6" w:color="7EAF4D"/>
        </w:pBdr>
        <w:spacing w:before="150" w:after="90"/>
      </w:pPr>
      <w:r>
        <w:rPr>
          <w:rFonts w:ascii="Georgia" w:eastAsia="Georgia" w:hAnsi="Georgia" w:cs="Georgia"/>
          <w:b/>
          <w:bCs/>
          <w:color w:val="2E4721"/>
          <w:sz w:val="24"/>
          <w:szCs w:val="24"/>
        </w:rPr>
        <w:t>ABOUT BILL</w:t>
      </w:r>
    </w:p>
    <w:p w14:paraId="4E6B6CE1" w14:textId="77777777" w:rsidR="00F365C9" w:rsidRDefault="00000000">
      <w:pPr>
        <w:spacing w:after="100" w:line="250" w:lineRule="auto"/>
      </w:pPr>
      <w:r>
        <w:rPr>
          <w:rFonts w:ascii="Calibri" w:eastAsia="Calibri" w:hAnsi="Calibri" w:cs="Calibri"/>
          <w:color w:val="3E4C63"/>
          <w:sz w:val="21"/>
          <w:szCs w:val="21"/>
        </w:rPr>
        <w:t xml:space="preserve">Bill </w:t>
      </w:r>
      <w:proofErr w:type="spellStart"/>
      <w:r>
        <w:rPr>
          <w:rFonts w:ascii="Calibri" w:eastAsia="Calibri" w:hAnsi="Calibri" w:cs="Calibri"/>
          <w:color w:val="3E4C63"/>
          <w:sz w:val="21"/>
          <w:szCs w:val="21"/>
        </w:rPr>
        <w:t>Cupach</w:t>
      </w:r>
      <w:proofErr w:type="spellEnd"/>
      <w:r>
        <w:rPr>
          <w:rFonts w:ascii="Calibri" w:eastAsia="Calibri" w:hAnsi="Calibri" w:cs="Calibri"/>
          <w:color w:val="3E4C63"/>
          <w:sz w:val="21"/>
          <w:szCs w:val="21"/>
        </w:rPr>
        <w:t xml:space="preserve"> spent more than two decades as a Regional Vice President in financial services, mentoring advisors and business leaders across the industry. He helped firms scale their operations, grow client bases, develop next-generation talent, and lead with clarity — becoming the go-to voice for smart, grounded advice along the way.</w:t>
      </w:r>
    </w:p>
    <w:p w14:paraId="0A3CDC1E" w14:textId="77777777" w:rsidR="00F365C9" w:rsidRDefault="00000000">
      <w:pPr>
        <w:spacing w:after="100" w:line="250" w:lineRule="auto"/>
      </w:pPr>
      <w:r>
        <w:rPr>
          <w:rFonts w:ascii="Calibri" w:eastAsia="Calibri" w:hAnsi="Calibri" w:cs="Calibri"/>
          <w:color w:val="3E4C63"/>
          <w:sz w:val="21"/>
          <w:szCs w:val="21"/>
        </w:rPr>
        <w:t>Bill later stepped away from the corporate world to focus on what he does best: working directly with clients, solving problems, and creating meaningful, lasting progress in their businesses. Today, Bill channels that experience into coaching financial advisors on the fundamentals that build high-performing, sustainable practices — culture, communication, career development, and compensation.</w:t>
      </w:r>
    </w:p>
    <w:p w14:paraId="5BD51F59" w14:textId="77777777" w:rsidR="00F365C9" w:rsidRDefault="00000000">
      <w:pPr>
        <w:pBdr>
          <w:bottom w:val="single" w:sz="6" w:space="6" w:color="7EAF4D"/>
        </w:pBdr>
        <w:spacing w:before="150" w:after="90"/>
      </w:pPr>
      <w:r>
        <w:rPr>
          <w:rFonts w:ascii="Georgia" w:eastAsia="Georgia" w:hAnsi="Georgia" w:cs="Georgia"/>
          <w:b/>
          <w:bCs/>
          <w:color w:val="2E4721"/>
          <w:sz w:val="24"/>
          <w:szCs w:val="24"/>
        </w:rPr>
        <w:t>COACHING FOCUS AREAS — THE 4 C’S</w:t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5400"/>
      </w:tblGrid>
      <w:tr w:rsidR="00F365C9" w14:paraId="166BD98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A9C98A"/>
              <w:left w:val="single" w:sz="4" w:space="0" w:color="A9C98A"/>
              <w:bottom w:val="single" w:sz="4" w:space="0" w:color="A9C98A"/>
              <w:right w:val="single" w:sz="4" w:space="0" w:color="A9C98A"/>
            </w:tcBorders>
            <w:shd w:val="clear" w:color="auto" w:fill="F1F5EC"/>
            <w:tcMar>
              <w:top w:w="120" w:type="dxa"/>
              <w:left w:w="260" w:type="dxa"/>
              <w:bottom w:w="120" w:type="dxa"/>
              <w:right w:w="260" w:type="dxa"/>
            </w:tcMar>
          </w:tcPr>
          <w:p w14:paraId="1A2078DE" w14:textId="77777777" w:rsidR="00F365C9" w:rsidRDefault="00000000">
            <w:pPr>
              <w:spacing w:after="60"/>
            </w:pPr>
            <w:r>
              <w:rPr>
                <w:rFonts w:ascii="Georgia" w:eastAsia="Georgia" w:hAnsi="Georgia" w:cs="Georgia"/>
                <w:b/>
                <w:bCs/>
                <w:color w:val="2E4721"/>
                <w:sz w:val="24"/>
                <w:szCs w:val="24"/>
              </w:rPr>
              <w:t>Culture</w:t>
            </w:r>
          </w:p>
          <w:p w14:paraId="6AC9A6D3" w14:textId="77777777" w:rsidR="00F365C9" w:rsidRDefault="00000000">
            <w:pPr>
              <w:spacing w:line="260" w:lineRule="auto"/>
            </w:pPr>
            <w:r>
              <w:rPr>
                <w:rFonts w:ascii="Calibri" w:eastAsia="Calibri" w:hAnsi="Calibri" w:cs="Calibri"/>
                <w:color w:val="3E4C63"/>
              </w:rPr>
              <w:t>Culture drives engagement, loyalty, and retention — and it starts and ends with the leader. Treat it like an ecosystem that must be constantly fed.</w:t>
            </w:r>
          </w:p>
        </w:tc>
        <w:tc>
          <w:tcPr>
            <w:tcW w:w="5400" w:type="dxa"/>
            <w:tcBorders>
              <w:top w:val="single" w:sz="4" w:space="0" w:color="A9C98A"/>
              <w:left w:val="single" w:sz="4" w:space="0" w:color="A9C98A"/>
              <w:bottom w:val="single" w:sz="4" w:space="0" w:color="A9C98A"/>
              <w:right w:val="single" w:sz="4" w:space="0" w:color="A9C98A"/>
            </w:tcBorders>
            <w:shd w:val="clear" w:color="auto" w:fill="F1F5EC"/>
            <w:tcMar>
              <w:top w:w="120" w:type="dxa"/>
              <w:left w:w="260" w:type="dxa"/>
              <w:bottom w:w="120" w:type="dxa"/>
              <w:right w:w="260" w:type="dxa"/>
            </w:tcMar>
          </w:tcPr>
          <w:p w14:paraId="5511E61C" w14:textId="77777777" w:rsidR="00F365C9" w:rsidRDefault="00000000">
            <w:pPr>
              <w:spacing w:after="60"/>
            </w:pPr>
            <w:r>
              <w:rPr>
                <w:rFonts w:ascii="Georgia" w:eastAsia="Georgia" w:hAnsi="Georgia" w:cs="Georgia"/>
                <w:b/>
                <w:bCs/>
                <w:color w:val="2E4721"/>
                <w:sz w:val="24"/>
                <w:szCs w:val="24"/>
              </w:rPr>
              <w:t>Communication</w:t>
            </w:r>
          </w:p>
          <w:p w14:paraId="2AB5AAF2" w14:textId="77777777" w:rsidR="00F365C9" w:rsidRDefault="00000000">
            <w:pPr>
              <w:spacing w:line="260" w:lineRule="auto"/>
            </w:pPr>
            <w:r>
              <w:rPr>
                <w:rFonts w:ascii="Calibri" w:eastAsia="Calibri" w:hAnsi="Calibri" w:cs="Calibri"/>
                <w:color w:val="3E4C63"/>
              </w:rPr>
              <w:t>Know the difference between hearing and listening. Establish a common language and a regular 1:1 cadence built around what the team needs.</w:t>
            </w:r>
          </w:p>
        </w:tc>
      </w:tr>
      <w:tr w:rsidR="00F365C9" w14:paraId="74922571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A9C98A"/>
              <w:left w:val="single" w:sz="4" w:space="0" w:color="A9C98A"/>
              <w:bottom w:val="single" w:sz="4" w:space="0" w:color="A9C98A"/>
              <w:right w:val="single" w:sz="4" w:space="0" w:color="A9C98A"/>
            </w:tcBorders>
            <w:shd w:val="clear" w:color="auto" w:fill="F1F5EC"/>
            <w:tcMar>
              <w:top w:w="120" w:type="dxa"/>
              <w:left w:w="260" w:type="dxa"/>
              <w:bottom w:w="120" w:type="dxa"/>
              <w:right w:w="260" w:type="dxa"/>
            </w:tcMar>
          </w:tcPr>
          <w:p w14:paraId="42852B85" w14:textId="77777777" w:rsidR="00F365C9" w:rsidRDefault="00000000">
            <w:pPr>
              <w:spacing w:after="60"/>
            </w:pPr>
            <w:r>
              <w:rPr>
                <w:rFonts w:ascii="Georgia" w:eastAsia="Georgia" w:hAnsi="Georgia" w:cs="Georgia"/>
                <w:b/>
                <w:bCs/>
                <w:color w:val="2E4721"/>
                <w:sz w:val="24"/>
                <w:szCs w:val="24"/>
              </w:rPr>
              <w:t>Career Pathing</w:t>
            </w:r>
          </w:p>
          <w:p w14:paraId="09E3637D" w14:textId="77777777" w:rsidR="00F365C9" w:rsidRDefault="00000000">
            <w:pPr>
              <w:spacing w:line="260" w:lineRule="auto"/>
            </w:pPr>
            <w:r>
              <w:rPr>
                <w:rFonts w:ascii="Calibri" w:eastAsia="Calibri" w:hAnsi="Calibri" w:cs="Calibri"/>
                <w:color w:val="3E4C63"/>
              </w:rPr>
              <w:t>A transparent roadmap that shows top talent what’s possible — replacing subjectivity with clear titles, competencies, and development plans.</w:t>
            </w:r>
          </w:p>
        </w:tc>
        <w:tc>
          <w:tcPr>
            <w:tcW w:w="5400" w:type="dxa"/>
            <w:tcBorders>
              <w:top w:val="single" w:sz="4" w:space="0" w:color="A9C98A"/>
              <w:left w:val="single" w:sz="4" w:space="0" w:color="A9C98A"/>
              <w:bottom w:val="single" w:sz="4" w:space="0" w:color="A9C98A"/>
              <w:right w:val="single" w:sz="4" w:space="0" w:color="A9C98A"/>
            </w:tcBorders>
            <w:shd w:val="clear" w:color="auto" w:fill="F1F5EC"/>
            <w:tcMar>
              <w:top w:w="120" w:type="dxa"/>
              <w:left w:w="260" w:type="dxa"/>
              <w:bottom w:w="120" w:type="dxa"/>
              <w:right w:w="260" w:type="dxa"/>
            </w:tcMar>
          </w:tcPr>
          <w:p w14:paraId="736C618A" w14:textId="77777777" w:rsidR="00F365C9" w:rsidRDefault="00000000">
            <w:pPr>
              <w:spacing w:after="60"/>
            </w:pPr>
            <w:r>
              <w:rPr>
                <w:rFonts w:ascii="Georgia" w:eastAsia="Georgia" w:hAnsi="Georgia" w:cs="Georgia"/>
                <w:b/>
                <w:bCs/>
                <w:color w:val="2E4721"/>
                <w:sz w:val="24"/>
                <w:szCs w:val="24"/>
              </w:rPr>
              <w:t>Compensation</w:t>
            </w:r>
          </w:p>
          <w:p w14:paraId="1FE6CEA4" w14:textId="77777777" w:rsidR="00F365C9" w:rsidRDefault="00000000">
            <w:pPr>
              <w:spacing w:line="260" w:lineRule="auto"/>
            </w:pPr>
            <w:r>
              <w:rPr>
                <w:rFonts w:ascii="Calibri" w:eastAsia="Calibri" w:hAnsi="Calibri" w:cs="Calibri"/>
                <w:color w:val="3E4C63"/>
              </w:rPr>
              <w:t>Align pay with performance using SMART, measurable goals and consistent reviews so top talent is recognized, retained, and rewarded.</w:t>
            </w:r>
          </w:p>
        </w:tc>
      </w:tr>
    </w:tbl>
    <w:p w14:paraId="25B36546" w14:textId="77777777" w:rsidR="00F365C9" w:rsidRDefault="00F365C9">
      <w:pPr>
        <w:spacing w:before="130"/>
      </w:pP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3600"/>
        <w:gridCol w:w="3600"/>
      </w:tblGrid>
      <w:tr w:rsidR="00F365C9" w14:paraId="779BC3E8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4721"/>
            <w:tcMar>
              <w:top w:w="115" w:type="dxa"/>
              <w:left w:w="200" w:type="dxa"/>
              <w:bottom w:w="115" w:type="dxa"/>
              <w:right w:w="200" w:type="dxa"/>
            </w:tcMar>
            <w:vAlign w:val="center"/>
          </w:tcPr>
          <w:p w14:paraId="6E41069E" w14:textId="77777777" w:rsidR="00F365C9" w:rsidRDefault="00000000">
            <w:pPr>
              <w:spacing w:after="30"/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7EAF4D"/>
                <w:sz w:val="42"/>
                <w:szCs w:val="42"/>
              </w:rPr>
              <w:t>20+</w:t>
            </w:r>
          </w:p>
          <w:p w14:paraId="4FA7D395" w14:textId="77777777" w:rsidR="00F365C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Years Coaching</w:t>
            </w:r>
          </w:p>
          <w:p w14:paraId="746CE274" w14:textId="77777777" w:rsidR="00F365C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Financial Advisors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4721"/>
            <w:tcMar>
              <w:top w:w="115" w:type="dxa"/>
              <w:left w:w="200" w:type="dxa"/>
              <w:bottom w:w="115" w:type="dxa"/>
              <w:right w:w="200" w:type="dxa"/>
            </w:tcMar>
            <w:vAlign w:val="center"/>
          </w:tcPr>
          <w:p w14:paraId="1038687D" w14:textId="77777777" w:rsidR="00F365C9" w:rsidRDefault="00000000">
            <w:pPr>
              <w:spacing w:after="30"/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7EAF4D"/>
                <w:sz w:val="42"/>
                <w:szCs w:val="42"/>
              </w:rPr>
              <w:t>4</w:t>
            </w:r>
          </w:p>
          <w:p w14:paraId="5F0D4FE9" w14:textId="77777777" w:rsidR="00F365C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Pillars: Culture, Communication,</w:t>
            </w:r>
          </w:p>
          <w:p w14:paraId="1CBF88F2" w14:textId="77777777" w:rsidR="00F365C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Career Pathing &amp; Compensation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4721"/>
            <w:tcMar>
              <w:top w:w="115" w:type="dxa"/>
              <w:left w:w="200" w:type="dxa"/>
              <w:bottom w:w="115" w:type="dxa"/>
              <w:right w:w="200" w:type="dxa"/>
            </w:tcMar>
            <w:vAlign w:val="center"/>
          </w:tcPr>
          <w:p w14:paraId="7AF56395" w14:textId="77777777" w:rsidR="00F365C9" w:rsidRDefault="00000000">
            <w:pPr>
              <w:spacing w:after="30"/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7EAF4D"/>
                <w:sz w:val="42"/>
                <w:szCs w:val="42"/>
              </w:rPr>
              <w:t>3</w:t>
            </w:r>
          </w:p>
          <w:p w14:paraId="32FA49C2" w14:textId="77777777" w:rsidR="00F365C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Step Method: Assess,</w:t>
            </w:r>
          </w:p>
          <w:p w14:paraId="46EC7044" w14:textId="77777777" w:rsidR="00F365C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Recommend, Implement</w:t>
            </w:r>
          </w:p>
        </w:tc>
      </w:tr>
    </w:tbl>
    <w:p w14:paraId="2DB78801" w14:textId="77777777" w:rsidR="00F365C9" w:rsidRDefault="00F365C9">
      <w:pPr>
        <w:spacing w:before="130"/>
      </w:pP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0"/>
      </w:tblGrid>
      <w:tr w:rsidR="00F365C9" w14:paraId="38351A32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tcBorders>
              <w:top w:val="single" w:sz="4" w:space="0" w:color="A9C98A"/>
              <w:left w:val="single" w:sz="4" w:space="0" w:color="A9C98A"/>
              <w:bottom w:val="single" w:sz="4" w:space="0" w:color="A9C98A"/>
              <w:right w:val="single" w:sz="4" w:space="0" w:color="A9C98A"/>
            </w:tcBorders>
            <w:shd w:val="clear" w:color="auto" w:fill="F1F5EC"/>
            <w:tcMar>
              <w:top w:w="110" w:type="dxa"/>
              <w:left w:w="620" w:type="dxa"/>
              <w:bottom w:w="110" w:type="dxa"/>
              <w:right w:w="620" w:type="dxa"/>
            </w:tcMar>
            <w:vAlign w:val="center"/>
          </w:tcPr>
          <w:p w14:paraId="74E9576A" w14:textId="77777777" w:rsidR="00F365C9" w:rsidRDefault="00000000">
            <w:pPr>
              <w:spacing w:line="290" w:lineRule="auto"/>
              <w:jc w:val="center"/>
            </w:pPr>
            <w:r>
              <w:rPr>
                <w:rFonts w:ascii="Georgia" w:eastAsia="Georgia" w:hAnsi="Georgia" w:cs="Georgia"/>
                <w:i/>
                <w:iCs/>
                <w:color w:val="2E4721"/>
                <w:sz w:val="25"/>
                <w:szCs w:val="25"/>
              </w:rPr>
              <w:t xml:space="preserve">“Culture, communication, career path, and compensation — get </w:t>
            </w:r>
            <w:proofErr w:type="gramStart"/>
            <w:r>
              <w:rPr>
                <w:rFonts w:ascii="Georgia" w:eastAsia="Georgia" w:hAnsi="Georgia" w:cs="Georgia"/>
                <w:i/>
                <w:iCs/>
                <w:color w:val="2E4721"/>
                <w:sz w:val="25"/>
                <w:szCs w:val="25"/>
              </w:rPr>
              <w:t>those four right</w:t>
            </w:r>
            <w:proofErr w:type="gramEnd"/>
            <w:r>
              <w:rPr>
                <w:rFonts w:ascii="Georgia" w:eastAsia="Georgia" w:hAnsi="Georgia" w:cs="Georgia"/>
                <w:i/>
                <w:iCs/>
                <w:color w:val="2E4721"/>
                <w:sz w:val="25"/>
                <w:szCs w:val="25"/>
              </w:rPr>
              <w:t>, and you turn a good team into a great one.”</w:t>
            </w:r>
          </w:p>
          <w:p w14:paraId="36CB8188" w14:textId="77777777" w:rsidR="00F365C9" w:rsidRDefault="00000000">
            <w:pPr>
              <w:spacing w:before="10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6B8A4F"/>
              </w:rPr>
              <w:t>— BILL CUPACH, Coach</w:t>
            </w:r>
          </w:p>
        </w:tc>
      </w:tr>
    </w:tbl>
    <w:p w14:paraId="683AB732" w14:textId="77777777" w:rsidR="00F365C9" w:rsidRDefault="00F365C9">
      <w:pPr>
        <w:spacing w:before="40"/>
      </w:pP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0"/>
      </w:tblGrid>
      <w:tr w:rsidR="00F365C9" w14:paraId="388676E6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4721"/>
            <w:tcMar>
              <w:top w:w="100" w:type="dxa"/>
              <w:left w:w="750" w:type="dxa"/>
              <w:bottom w:w="100" w:type="dxa"/>
              <w:right w:w="750" w:type="dxa"/>
            </w:tcMar>
            <w:vAlign w:val="center"/>
          </w:tcPr>
          <w:p w14:paraId="2F92DA7F" w14:textId="77777777" w:rsidR="00F365C9" w:rsidRDefault="00000000">
            <w:pPr>
              <w:spacing w:after="75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9"/>
                <w:szCs w:val="29"/>
              </w:rPr>
              <w:t>Ready to build a stronger practice?</w:t>
            </w:r>
          </w:p>
          <w:p w14:paraId="2FD5121B" w14:textId="77777777" w:rsidR="00F365C9" w:rsidRDefault="00000000">
            <w:pPr>
              <w:spacing w:after="55"/>
            </w:pPr>
            <w:r>
              <w:rPr>
                <w:rFonts w:ascii="Calibri" w:eastAsia="Calibri" w:hAnsi="Calibri" w:cs="Calibri"/>
                <w:color w:val="F1F5EC"/>
              </w:rPr>
              <w:t xml:space="preserve">Bill </w:t>
            </w:r>
            <w:proofErr w:type="spellStart"/>
            <w:proofErr w:type="gramStart"/>
            <w:r>
              <w:rPr>
                <w:rFonts w:ascii="Calibri" w:eastAsia="Calibri" w:hAnsi="Calibri" w:cs="Calibri"/>
                <w:color w:val="F1F5EC"/>
              </w:rPr>
              <w:t>Cupach</w:t>
            </w:r>
            <w:proofErr w:type="spellEnd"/>
            <w:r>
              <w:rPr>
                <w:rFonts w:ascii="Calibri" w:eastAsia="Calibri" w:hAnsi="Calibri" w:cs="Calibri"/>
                <w:color w:val="F1F5EC"/>
              </w:rPr>
              <w:t xml:space="preserve">  |</w:t>
            </w:r>
            <w:proofErr w:type="gramEnd"/>
            <w:r>
              <w:rPr>
                <w:rFonts w:ascii="Calibri" w:eastAsia="Calibri" w:hAnsi="Calibri" w:cs="Calibri"/>
                <w:color w:val="F1F5EC"/>
              </w:rPr>
              <w:t xml:space="preserve">  Peak Performance Advisor Consulting</w:t>
            </w:r>
          </w:p>
          <w:p w14:paraId="1C2452BA" w14:textId="77777777" w:rsidR="00F365C9" w:rsidRDefault="00000000">
            <w:r>
              <w:rPr>
                <w:rFonts w:ascii="Calibri" w:eastAsia="Calibri" w:hAnsi="Calibri" w:cs="Calibri"/>
                <w:b/>
                <w:bCs/>
                <w:color w:val="7EAF4D"/>
                <w:sz w:val="19"/>
                <w:szCs w:val="19"/>
              </w:rPr>
              <w:t>216.235.0504</w:t>
            </w:r>
            <w:r>
              <w:rPr>
                <w:rFonts w:ascii="Calibri" w:eastAsia="Calibri" w:hAnsi="Calibri" w:cs="Calibri"/>
                <w:color w:val="F1F5EC"/>
                <w:sz w:val="19"/>
                <w:szCs w:val="19"/>
              </w:rPr>
              <w:t xml:space="preserve">   |   </w:t>
            </w:r>
            <w:r>
              <w:rPr>
                <w:rFonts w:ascii="Calibri" w:eastAsia="Calibri" w:hAnsi="Calibri" w:cs="Calibri"/>
                <w:b/>
                <w:bCs/>
                <w:color w:val="7EAF4D"/>
                <w:sz w:val="19"/>
                <w:szCs w:val="19"/>
              </w:rPr>
              <w:t>Bill@getfocusedfirst.com</w:t>
            </w:r>
            <w:r>
              <w:rPr>
                <w:rFonts w:ascii="Calibri" w:eastAsia="Calibri" w:hAnsi="Calibri" w:cs="Calibri"/>
                <w:color w:val="F1F5EC"/>
                <w:sz w:val="19"/>
                <w:szCs w:val="19"/>
              </w:rPr>
              <w:t xml:space="preserve">   |   </w:t>
            </w:r>
            <w:r>
              <w:rPr>
                <w:rFonts w:ascii="Calibri" w:eastAsia="Calibri" w:hAnsi="Calibri" w:cs="Calibri"/>
                <w:b/>
                <w:bCs/>
                <w:color w:val="7EAF4D"/>
                <w:sz w:val="19"/>
                <w:szCs w:val="19"/>
              </w:rPr>
              <w:t>www.PeakPerformanceAdvisorConsulting.com</w:t>
            </w:r>
          </w:p>
        </w:tc>
      </w:tr>
    </w:tbl>
    <w:p w14:paraId="198C1A6B" w14:textId="77777777" w:rsidR="000459AA" w:rsidRDefault="000459AA"/>
    <w:sectPr w:rsidR="000459AA">
      <w:pgSz w:w="12240" w:h="15840"/>
      <w:pgMar w:top="0" w:right="720" w:bottom="3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0129F"/>
    <w:multiLevelType w:val="hybridMultilevel"/>
    <w:tmpl w:val="17A21D40"/>
    <w:lvl w:ilvl="0" w:tplc="835CEE80">
      <w:start w:val="1"/>
      <w:numFmt w:val="bullet"/>
      <w:lvlText w:val="●"/>
      <w:lvlJc w:val="left"/>
      <w:pPr>
        <w:ind w:left="720" w:hanging="360"/>
      </w:pPr>
    </w:lvl>
    <w:lvl w:ilvl="1" w:tplc="47E6A65E">
      <w:start w:val="1"/>
      <w:numFmt w:val="bullet"/>
      <w:lvlText w:val="○"/>
      <w:lvlJc w:val="left"/>
      <w:pPr>
        <w:ind w:left="1440" w:hanging="360"/>
      </w:pPr>
    </w:lvl>
    <w:lvl w:ilvl="2" w:tplc="E0141B1C">
      <w:start w:val="1"/>
      <w:numFmt w:val="bullet"/>
      <w:lvlText w:val="■"/>
      <w:lvlJc w:val="left"/>
      <w:pPr>
        <w:ind w:left="2160" w:hanging="360"/>
      </w:pPr>
    </w:lvl>
    <w:lvl w:ilvl="3" w:tplc="735888F8">
      <w:start w:val="1"/>
      <w:numFmt w:val="bullet"/>
      <w:lvlText w:val="●"/>
      <w:lvlJc w:val="left"/>
      <w:pPr>
        <w:ind w:left="2880" w:hanging="360"/>
      </w:pPr>
    </w:lvl>
    <w:lvl w:ilvl="4" w:tplc="1DEE7716">
      <w:start w:val="1"/>
      <w:numFmt w:val="bullet"/>
      <w:lvlText w:val="○"/>
      <w:lvlJc w:val="left"/>
      <w:pPr>
        <w:ind w:left="3600" w:hanging="360"/>
      </w:pPr>
    </w:lvl>
    <w:lvl w:ilvl="5" w:tplc="F58CB9BE">
      <w:start w:val="1"/>
      <w:numFmt w:val="bullet"/>
      <w:lvlText w:val="■"/>
      <w:lvlJc w:val="left"/>
      <w:pPr>
        <w:ind w:left="4320" w:hanging="360"/>
      </w:pPr>
    </w:lvl>
    <w:lvl w:ilvl="6" w:tplc="1EE8FC86">
      <w:start w:val="1"/>
      <w:numFmt w:val="bullet"/>
      <w:lvlText w:val="●"/>
      <w:lvlJc w:val="left"/>
      <w:pPr>
        <w:ind w:left="5040" w:hanging="360"/>
      </w:pPr>
    </w:lvl>
    <w:lvl w:ilvl="7" w:tplc="50D67AE6">
      <w:start w:val="1"/>
      <w:numFmt w:val="bullet"/>
      <w:lvlText w:val="●"/>
      <w:lvlJc w:val="left"/>
      <w:pPr>
        <w:ind w:left="5760" w:hanging="360"/>
      </w:pPr>
    </w:lvl>
    <w:lvl w:ilvl="8" w:tplc="67326B6A">
      <w:start w:val="1"/>
      <w:numFmt w:val="bullet"/>
      <w:lvlText w:val="●"/>
      <w:lvlJc w:val="left"/>
      <w:pPr>
        <w:ind w:left="6480" w:hanging="360"/>
      </w:pPr>
    </w:lvl>
  </w:abstractNum>
  <w:num w:numId="1" w16cid:durableId="19247974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5C9"/>
    <w:rsid w:val="000459AA"/>
    <w:rsid w:val="006312CF"/>
    <w:rsid w:val="00F365C9"/>
    <w:rsid w:val="00F9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CC8DDD"/>
  <w15:docId w15:val="{AF714212-7588-444A-8654-C356F484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1725</Characters>
  <Application>Microsoft Office Word</Application>
  <DocSecurity>0</DocSecurity>
  <Lines>50</Lines>
  <Paragraphs>29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Brian Sullivan</cp:lastModifiedBy>
  <cp:revision>2</cp:revision>
  <dcterms:created xsi:type="dcterms:W3CDTF">2026-09-03T13:13:00Z</dcterms:created>
  <dcterms:modified xsi:type="dcterms:W3CDTF">2026-09-03T13:13:00Z</dcterms:modified>
</cp:coreProperties>
</file>