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6"/>
        <w:gridCol w:w="8844"/>
      </w:tblGrid>
      <w:tr w:rsidR="00D8194C" w14:paraId="5D11F906" w14:textId="77777777">
        <w:tblPrEx>
          <w:tblCellMar>
            <w:top w:w="0" w:type="dxa"/>
            <w:bottom w:w="0" w:type="dxa"/>
          </w:tblCellMar>
        </w:tblPrEx>
        <w:tc>
          <w:tcPr>
            <w:tcW w:w="1700" w:type="dxa"/>
            <w:tcBorders>
              <w:top w:val="none" w:sz="0" w:space="0" w:color="FFFFFF"/>
              <w:left w:val="none" w:sz="0" w:space="0" w:color="FFFFFF"/>
              <w:bottom w:val="none" w:sz="0" w:space="0" w:color="FFFFFF"/>
              <w:right w:val="none" w:sz="0" w:space="0" w:color="FFFFFF"/>
            </w:tcBorders>
            <w:shd w:val="clear" w:color="auto" w:fill="2E4721"/>
            <w:tcMar>
              <w:top w:w="200" w:type="dxa"/>
              <w:left w:w="576" w:type="dxa"/>
              <w:bottom w:w="200" w:type="dxa"/>
              <w:right w:w="0" w:type="dxa"/>
            </w:tcMar>
            <w:vAlign w:val="center"/>
          </w:tcPr>
          <w:p w14:paraId="42F550B2" w14:textId="77777777" w:rsidR="00D8194C" w:rsidRDefault="00000000">
            <w:r>
              <w:rPr>
                <w:noProof/>
              </w:rPr>
              <w:drawing>
                <wp:inline distT="0" distB="0" distL="0" distR="0" wp14:anchorId="09B3F97C" wp14:editId="5876BE6C">
                  <wp:extent cx="876300"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76300" cy="542925"/>
                          </a:xfrm>
                          <a:prstGeom prst="rect">
                            <a:avLst/>
                          </a:prstGeom>
                        </pic:spPr>
                      </pic:pic>
                    </a:graphicData>
                  </a:graphic>
                </wp:inline>
              </w:drawing>
            </w:r>
          </w:p>
        </w:tc>
        <w:tc>
          <w:tcPr>
            <w:tcW w:w="9100" w:type="dxa"/>
            <w:tcBorders>
              <w:top w:val="none" w:sz="0" w:space="0" w:color="FFFFFF"/>
              <w:left w:val="none" w:sz="0" w:space="0" w:color="FFFFFF"/>
              <w:bottom w:val="none" w:sz="0" w:space="0" w:color="FFFFFF"/>
              <w:right w:val="none" w:sz="0" w:space="0" w:color="FFFFFF"/>
            </w:tcBorders>
            <w:shd w:val="clear" w:color="auto" w:fill="2E4721"/>
            <w:tcMar>
              <w:top w:w="0" w:type="dxa"/>
              <w:left w:w="220" w:type="dxa"/>
              <w:bottom w:w="0" w:type="dxa"/>
              <w:right w:w="576" w:type="dxa"/>
            </w:tcMar>
            <w:vAlign w:val="center"/>
          </w:tcPr>
          <w:p w14:paraId="5825A424" w14:textId="77777777" w:rsidR="00D8194C" w:rsidRDefault="00000000">
            <w:pPr>
              <w:spacing w:before="320" w:after="60"/>
            </w:pPr>
            <w:r>
              <w:rPr>
                <w:rFonts w:ascii="Georgia" w:eastAsia="Georgia" w:hAnsi="Georgia" w:cs="Georgia"/>
                <w:b/>
                <w:bCs/>
                <w:color w:val="A9C98A"/>
                <w:sz w:val="19"/>
                <w:szCs w:val="19"/>
              </w:rPr>
              <w:t>PEAK PERFORMANCE ADVISOR CONSULTING</w:t>
            </w:r>
          </w:p>
          <w:p w14:paraId="3716CD00" w14:textId="77777777" w:rsidR="00D8194C" w:rsidRDefault="00000000">
            <w:pPr>
              <w:spacing w:after="90"/>
            </w:pPr>
            <w:r>
              <w:rPr>
                <w:rFonts w:ascii="Georgia" w:eastAsia="Georgia" w:hAnsi="Georgia" w:cs="Georgia"/>
                <w:b/>
                <w:bCs/>
                <w:color w:val="FFFFFF"/>
                <w:sz w:val="46"/>
                <w:szCs w:val="46"/>
              </w:rPr>
              <w:t>Coaching for Financial Advisors Who Want to Grow</w:t>
            </w:r>
          </w:p>
          <w:p w14:paraId="00C33D44" w14:textId="77777777" w:rsidR="00D8194C" w:rsidRDefault="00000000">
            <w:pPr>
              <w:spacing w:after="320"/>
            </w:pPr>
            <w:r>
              <w:rPr>
                <w:rFonts w:ascii="Georgia" w:eastAsia="Georgia" w:hAnsi="Georgia" w:cs="Georgia"/>
                <w:i/>
                <w:iCs/>
                <w:color w:val="F1F5EC"/>
                <w:sz w:val="21"/>
                <w:szCs w:val="21"/>
              </w:rPr>
              <w:t xml:space="preserve">40+ Years in Wealth </w:t>
            </w:r>
            <w:proofErr w:type="gramStart"/>
            <w:r>
              <w:rPr>
                <w:rFonts w:ascii="Georgia" w:eastAsia="Georgia" w:hAnsi="Georgia" w:cs="Georgia"/>
                <w:i/>
                <w:iCs/>
                <w:color w:val="F1F5EC"/>
                <w:sz w:val="21"/>
                <w:szCs w:val="21"/>
              </w:rPr>
              <w:t>Management  •</w:t>
            </w:r>
            <w:proofErr w:type="gramEnd"/>
            <w:r>
              <w:rPr>
                <w:rFonts w:ascii="Georgia" w:eastAsia="Georgia" w:hAnsi="Georgia" w:cs="Georgia"/>
                <w:i/>
                <w:iCs/>
                <w:color w:val="F1F5EC"/>
                <w:sz w:val="21"/>
                <w:szCs w:val="21"/>
              </w:rPr>
              <w:t xml:space="preserve">  Mentor, Coach &amp; Trusted Partner to Advisors</w:t>
            </w:r>
          </w:p>
        </w:tc>
      </w:tr>
    </w:tbl>
    <w:p w14:paraId="158B322D" w14:textId="77777777" w:rsidR="00D8194C" w:rsidRDefault="00D8194C">
      <w:pPr>
        <w:spacing w:after="60"/>
      </w:pPr>
    </w:p>
    <w:p w14:paraId="1810A2DF" w14:textId="77777777" w:rsidR="00D8194C" w:rsidRDefault="00000000">
      <w:pPr>
        <w:pBdr>
          <w:bottom w:val="single" w:sz="6" w:space="6" w:color="7EAF4D"/>
        </w:pBdr>
        <w:spacing w:before="260" w:after="140"/>
      </w:pPr>
      <w:r>
        <w:rPr>
          <w:rFonts w:ascii="Georgia" w:eastAsia="Georgia" w:hAnsi="Georgia" w:cs="Georgia"/>
          <w:b/>
          <w:bCs/>
          <w:color w:val="2E4721"/>
          <w:sz w:val="23"/>
          <w:szCs w:val="23"/>
        </w:rPr>
        <w:t>ABOUT BRIAN</w:t>
      </w:r>
    </w:p>
    <w:p w14:paraId="5144F32B" w14:textId="77777777" w:rsidR="00D8194C" w:rsidRDefault="00000000">
      <w:pPr>
        <w:spacing w:after="160" w:line="288" w:lineRule="auto"/>
      </w:pPr>
      <w:r>
        <w:rPr>
          <w:rFonts w:ascii="Calibri" w:eastAsia="Calibri" w:hAnsi="Calibri" w:cs="Calibri"/>
          <w:color w:val="3E4C63"/>
          <w:sz w:val="21"/>
          <w:szCs w:val="21"/>
        </w:rPr>
        <w:t>Brian Sullivan is the Founder of Peak Performance Advisor Consulting, bringing over 40 years of experience partnering with financial advisors across the wealth management industry. While his career centered on asset management and the distribution of investment strategies, Brian became a trusted partner to advisors nationwide by consistently delivering value-added resources at every meeting — with advisors and their clients alike.</w:t>
      </w:r>
    </w:p>
    <w:p w14:paraId="5D318E43" w14:textId="77777777" w:rsidR="00D8194C" w:rsidRDefault="00000000">
      <w:pPr>
        <w:spacing w:line="288" w:lineRule="auto"/>
      </w:pPr>
      <w:r>
        <w:rPr>
          <w:rFonts w:ascii="Calibri" w:eastAsia="Calibri" w:hAnsi="Calibri" w:cs="Calibri"/>
          <w:color w:val="3E4C63"/>
          <w:sz w:val="21"/>
          <w:szCs w:val="21"/>
        </w:rPr>
        <w:t>Over four decades, Brian saw firsthand how the most successful advisors built and managed their businesses — and the pitfalls that held others back. Even in retirement, he still fields daily calls from advisors seeking guidance on tax planning, practice management, succession planning, financial planning strategies, and the markets. Today, Brian channels that experience into mentoring, coaching, and training the next generation of advisor talent.</w:t>
      </w:r>
    </w:p>
    <w:p w14:paraId="512B91C8" w14:textId="77777777" w:rsidR="00D8194C" w:rsidRDefault="00000000">
      <w:pPr>
        <w:pBdr>
          <w:bottom w:val="single" w:sz="6" w:space="6" w:color="7EAF4D"/>
        </w:pBdr>
        <w:spacing w:before="260" w:after="140"/>
      </w:pPr>
      <w:r>
        <w:rPr>
          <w:rFonts w:ascii="Georgia" w:eastAsia="Georgia" w:hAnsi="Georgia" w:cs="Georgia"/>
          <w:b/>
          <w:bCs/>
          <w:color w:val="2E4721"/>
          <w:sz w:val="23"/>
          <w:szCs w:val="23"/>
        </w:rPr>
        <w:t>COACHING FOCUS AREAS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0"/>
        <w:gridCol w:w="220"/>
        <w:gridCol w:w="5290"/>
      </w:tblGrid>
      <w:tr w:rsidR="00D8194C" w14:paraId="00C5C765" w14:textId="77777777">
        <w:tblPrEx>
          <w:tblCellMar>
            <w:top w:w="0" w:type="dxa"/>
            <w:bottom w:w="0" w:type="dxa"/>
          </w:tblCellMar>
        </w:tblPrEx>
        <w:tc>
          <w:tcPr>
            <w:tcW w:w="5290" w:type="dxa"/>
            <w:tcBorders>
              <w:top w:val="single" w:sz="4" w:space="0" w:color="A9C98A"/>
              <w:left w:val="single" w:sz="4" w:space="0" w:color="A9C98A"/>
              <w:bottom w:val="single" w:sz="4" w:space="0" w:color="A9C98A"/>
              <w:right w:val="single" w:sz="4" w:space="0" w:color="A9C98A"/>
            </w:tcBorders>
            <w:shd w:val="clear" w:color="auto" w:fill="F1F5EC"/>
            <w:tcMar>
              <w:top w:w="220" w:type="dxa"/>
              <w:left w:w="240" w:type="dxa"/>
              <w:bottom w:w="220" w:type="dxa"/>
              <w:right w:w="240" w:type="dxa"/>
            </w:tcMar>
          </w:tcPr>
          <w:p w14:paraId="0F847FA6" w14:textId="77777777" w:rsidR="00D8194C" w:rsidRDefault="00000000">
            <w:pPr>
              <w:spacing w:after="80" w:line="260" w:lineRule="auto"/>
            </w:pPr>
            <w:r>
              <w:rPr>
                <w:rFonts w:ascii="Georgia" w:eastAsia="Georgia" w:hAnsi="Georgia" w:cs="Georgia"/>
                <w:b/>
                <w:bCs/>
                <w:color w:val="2E4721"/>
                <w:sz w:val="21"/>
                <w:szCs w:val="21"/>
              </w:rPr>
              <w:t>Time Management — The 525600 Study</w:t>
            </w:r>
          </w:p>
          <w:p w14:paraId="6921BC8C" w14:textId="77777777" w:rsidR="00D8194C" w:rsidRDefault="00000000">
            <w:pPr>
              <w:spacing w:line="260" w:lineRule="auto"/>
            </w:pPr>
            <w:r>
              <w:rPr>
                <w:rFonts w:ascii="Calibri" w:eastAsia="Calibri" w:hAnsi="Calibri" w:cs="Calibri"/>
                <w:color w:val="3E4C63"/>
                <w:sz w:val="19"/>
                <w:szCs w:val="19"/>
              </w:rPr>
              <w:t>A proprietary week-by-week time audit that answers one question: are you running your business, or is it running you?</w:t>
            </w:r>
          </w:p>
        </w:tc>
        <w:tc>
          <w:tcPr>
            <w:tcW w:w="22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E4B3E5F" w14:textId="77777777" w:rsidR="00D8194C" w:rsidRDefault="00D8194C"/>
        </w:tc>
        <w:tc>
          <w:tcPr>
            <w:tcW w:w="5290" w:type="dxa"/>
            <w:tcBorders>
              <w:top w:val="single" w:sz="4" w:space="0" w:color="A9C98A"/>
              <w:left w:val="single" w:sz="4" w:space="0" w:color="A9C98A"/>
              <w:bottom w:val="single" w:sz="4" w:space="0" w:color="A9C98A"/>
              <w:right w:val="single" w:sz="4" w:space="0" w:color="A9C98A"/>
            </w:tcBorders>
            <w:shd w:val="clear" w:color="auto" w:fill="F1F5EC"/>
            <w:tcMar>
              <w:top w:w="220" w:type="dxa"/>
              <w:left w:w="240" w:type="dxa"/>
              <w:bottom w:w="220" w:type="dxa"/>
              <w:right w:w="240" w:type="dxa"/>
            </w:tcMar>
          </w:tcPr>
          <w:p w14:paraId="37A4917D" w14:textId="77777777" w:rsidR="00D8194C" w:rsidRDefault="00000000">
            <w:pPr>
              <w:spacing w:after="80" w:line="260" w:lineRule="auto"/>
            </w:pPr>
            <w:r>
              <w:rPr>
                <w:rFonts w:ascii="Georgia" w:eastAsia="Georgia" w:hAnsi="Georgia" w:cs="Georgia"/>
                <w:b/>
                <w:bCs/>
                <w:color w:val="2E4721"/>
                <w:sz w:val="21"/>
                <w:szCs w:val="21"/>
              </w:rPr>
              <w:t>Organic Growth — The Five-Point Plan</w:t>
            </w:r>
          </w:p>
          <w:p w14:paraId="3F6E2D1F" w14:textId="77777777" w:rsidR="00D8194C" w:rsidRDefault="00000000">
            <w:pPr>
              <w:spacing w:line="260" w:lineRule="auto"/>
            </w:pPr>
            <w:r>
              <w:rPr>
                <w:rFonts w:ascii="Calibri" w:eastAsia="Calibri" w:hAnsi="Calibri" w:cs="Calibri"/>
                <w:color w:val="3E4C63"/>
                <w:sz w:val="19"/>
                <w:szCs w:val="19"/>
              </w:rPr>
              <w:t>A repeatable system built on referrals, a client advisory council, experience events, visibility, and meal meetings.</w:t>
            </w:r>
          </w:p>
        </w:tc>
      </w:tr>
      <w:tr w:rsidR="00D8194C" w14:paraId="17A862DB"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E7F2BF5" w14:textId="77777777" w:rsidR="00D8194C" w:rsidRDefault="00D8194C"/>
        </w:tc>
        <w:tc>
          <w:tcPr>
            <w:tcW w:w="22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FC62DAC" w14:textId="77777777" w:rsidR="00D8194C" w:rsidRDefault="00D8194C"/>
        </w:tc>
        <w:tc>
          <w:tcPr>
            <w:tcW w:w="0" w:type="auto"/>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0D2F25A" w14:textId="77777777" w:rsidR="00D8194C" w:rsidRDefault="00D8194C"/>
        </w:tc>
      </w:tr>
      <w:tr w:rsidR="00D8194C" w14:paraId="15FD6C5E" w14:textId="77777777">
        <w:tblPrEx>
          <w:tblCellMar>
            <w:top w:w="0" w:type="dxa"/>
            <w:bottom w:w="0" w:type="dxa"/>
          </w:tblCellMar>
        </w:tblPrEx>
        <w:tc>
          <w:tcPr>
            <w:tcW w:w="5290" w:type="dxa"/>
            <w:tcBorders>
              <w:top w:val="single" w:sz="4" w:space="0" w:color="A9C98A"/>
              <w:left w:val="single" w:sz="4" w:space="0" w:color="A9C98A"/>
              <w:bottom w:val="single" w:sz="4" w:space="0" w:color="A9C98A"/>
              <w:right w:val="single" w:sz="4" w:space="0" w:color="A9C98A"/>
            </w:tcBorders>
            <w:shd w:val="clear" w:color="auto" w:fill="F1F5EC"/>
            <w:tcMar>
              <w:top w:w="220" w:type="dxa"/>
              <w:left w:w="240" w:type="dxa"/>
              <w:bottom w:w="220" w:type="dxa"/>
              <w:right w:w="240" w:type="dxa"/>
            </w:tcMar>
          </w:tcPr>
          <w:p w14:paraId="31E51E36" w14:textId="77777777" w:rsidR="00D8194C" w:rsidRDefault="00000000">
            <w:pPr>
              <w:spacing w:after="80" w:line="260" w:lineRule="auto"/>
            </w:pPr>
            <w:r>
              <w:rPr>
                <w:rFonts w:ascii="Georgia" w:eastAsia="Georgia" w:hAnsi="Georgia" w:cs="Georgia"/>
                <w:b/>
                <w:bCs/>
                <w:color w:val="2E4721"/>
                <w:sz w:val="21"/>
                <w:szCs w:val="21"/>
              </w:rPr>
              <w:t>Client &amp; Prospect Events</w:t>
            </w:r>
          </w:p>
          <w:p w14:paraId="3DC4CF5D" w14:textId="77777777" w:rsidR="00D8194C" w:rsidRDefault="00000000">
            <w:pPr>
              <w:spacing w:line="260" w:lineRule="auto"/>
            </w:pPr>
            <w:r>
              <w:rPr>
                <w:rFonts w:ascii="Calibri" w:eastAsia="Calibri" w:hAnsi="Calibri" w:cs="Calibri"/>
                <w:color w:val="3E4C63"/>
                <w:sz w:val="19"/>
                <w:szCs w:val="19"/>
              </w:rPr>
              <w:t>Small, ticketed experiential and educational events (10–12 guests) that turn prospects into relationships.</w:t>
            </w:r>
          </w:p>
        </w:tc>
        <w:tc>
          <w:tcPr>
            <w:tcW w:w="22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2540325" w14:textId="77777777" w:rsidR="00D8194C" w:rsidRDefault="00D8194C"/>
        </w:tc>
        <w:tc>
          <w:tcPr>
            <w:tcW w:w="5290" w:type="dxa"/>
            <w:tcBorders>
              <w:top w:val="single" w:sz="4" w:space="0" w:color="A9C98A"/>
              <w:left w:val="single" w:sz="4" w:space="0" w:color="A9C98A"/>
              <w:bottom w:val="single" w:sz="4" w:space="0" w:color="A9C98A"/>
              <w:right w:val="single" w:sz="4" w:space="0" w:color="A9C98A"/>
            </w:tcBorders>
            <w:shd w:val="clear" w:color="auto" w:fill="F1F5EC"/>
            <w:tcMar>
              <w:top w:w="220" w:type="dxa"/>
              <w:left w:w="240" w:type="dxa"/>
              <w:bottom w:w="220" w:type="dxa"/>
              <w:right w:w="240" w:type="dxa"/>
            </w:tcMar>
          </w:tcPr>
          <w:p w14:paraId="2C096C8C" w14:textId="77777777" w:rsidR="00D8194C" w:rsidRDefault="00000000">
            <w:pPr>
              <w:spacing w:after="80" w:line="260" w:lineRule="auto"/>
            </w:pPr>
            <w:r>
              <w:rPr>
                <w:rFonts w:ascii="Georgia" w:eastAsia="Georgia" w:hAnsi="Georgia" w:cs="Georgia"/>
                <w:b/>
                <w:bCs/>
                <w:color w:val="2E4721"/>
                <w:sz w:val="21"/>
                <w:szCs w:val="21"/>
              </w:rPr>
              <w:t>New Advisor Training</w:t>
            </w:r>
          </w:p>
          <w:p w14:paraId="009602FE" w14:textId="77777777" w:rsidR="00D8194C" w:rsidRDefault="00000000">
            <w:pPr>
              <w:spacing w:line="260" w:lineRule="auto"/>
            </w:pPr>
            <w:r>
              <w:rPr>
                <w:rFonts w:ascii="Calibri" w:eastAsia="Calibri" w:hAnsi="Calibri" w:cs="Calibri"/>
                <w:color w:val="3E4C63"/>
                <w:sz w:val="19"/>
                <w:szCs w:val="19"/>
              </w:rPr>
              <w:t>Hands-on coaching that teaches new advisors how to build relationships and convert prospects into lifelong clients.</w:t>
            </w:r>
          </w:p>
        </w:tc>
      </w:tr>
    </w:tbl>
    <w:p w14:paraId="36331E6D" w14:textId="77777777" w:rsidR="00D8194C" w:rsidRDefault="00D8194C">
      <w:pPr>
        <w:spacing w:before="2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600"/>
        <w:gridCol w:w="3600"/>
      </w:tblGrid>
      <w:tr w:rsidR="00D8194C" w14:paraId="33DCBC78" w14:textId="77777777">
        <w:tblPrEx>
          <w:tblCellMar>
            <w:top w:w="0" w:type="dxa"/>
            <w:bottom w:w="0" w:type="dxa"/>
          </w:tblCellMar>
        </w:tblPrEx>
        <w:tc>
          <w:tcPr>
            <w:tcW w:w="3600" w:type="dxa"/>
            <w:tcBorders>
              <w:top w:val="none" w:sz="0" w:space="0" w:color="FFFFFF"/>
              <w:left w:val="none" w:sz="0" w:space="0" w:color="FFFFFF"/>
              <w:bottom w:val="none" w:sz="0" w:space="0" w:color="FFFFFF"/>
              <w:right w:val="single" w:sz="4" w:space="0" w:color="4E6A3B"/>
            </w:tcBorders>
            <w:shd w:val="clear" w:color="auto" w:fill="2E4721"/>
            <w:tcMar>
              <w:top w:w="200" w:type="dxa"/>
              <w:left w:w="160" w:type="dxa"/>
              <w:bottom w:w="200" w:type="dxa"/>
              <w:right w:w="160" w:type="dxa"/>
            </w:tcMar>
            <w:vAlign w:val="center"/>
          </w:tcPr>
          <w:p w14:paraId="62231D7D" w14:textId="77777777" w:rsidR="00D8194C" w:rsidRDefault="00000000">
            <w:pPr>
              <w:spacing w:after="40"/>
              <w:jc w:val="center"/>
            </w:pPr>
            <w:r>
              <w:rPr>
                <w:rFonts w:ascii="Georgia" w:eastAsia="Georgia" w:hAnsi="Georgia" w:cs="Georgia"/>
                <w:b/>
                <w:bCs/>
                <w:color w:val="7EAF4D"/>
                <w:sz w:val="40"/>
                <w:szCs w:val="40"/>
              </w:rPr>
              <w:t>40+</w:t>
            </w:r>
          </w:p>
          <w:p w14:paraId="782F3D7E" w14:textId="77777777" w:rsidR="00D8194C" w:rsidRDefault="00000000">
            <w:pPr>
              <w:jc w:val="center"/>
            </w:pPr>
            <w:r>
              <w:rPr>
                <w:rFonts w:ascii="Calibri" w:eastAsia="Calibri" w:hAnsi="Calibri" w:cs="Calibri"/>
                <w:color w:val="FFFFFF"/>
                <w:sz w:val="16"/>
                <w:szCs w:val="16"/>
              </w:rPr>
              <w:t>Years Coaching</w:t>
            </w:r>
          </w:p>
          <w:p w14:paraId="4756F8FE" w14:textId="77777777" w:rsidR="00D8194C" w:rsidRDefault="00000000">
            <w:pPr>
              <w:jc w:val="center"/>
            </w:pPr>
            <w:r>
              <w:rPr>
                <w:rFonts w:ascii="Calibri" w:eastAsia="Calibri" w:hAnsi="Calibri" w:cs="Calibri"/>
                <w:color w:val="FFFFFF"/>
                <w:sz w:val="16"/>
                <w:szCs w:val="16"/>
              </w:rPr>
              <w:t>Financial Advisors</w:t>
            </w:r>
          </w:p>
        </w:tc>
        <w:tc>
          <w:tcPr>
            <w:tcW w:w="3600" w:type="dxa"/>
            <w:tcBorders>
              <w:top w:val="none" w:sz="0" w:space="0" w:color="FFFFFF"/>
              <w:left w:val="none" w:sz="0" w:space="0" w:color="FFFFFF"/>
              <w:bottom w:val="none" w:sz="0" w:space="0" w:color="FFFFFF"/>
              <w:right w:val="single" w:sz="4" w:space="0" w:color="4E6A3B"/>
            </w:tcBorders>
            <w:shd w:val="clear" w:color="auto" w:fill="2E4721"/>
            <w:tcMar>
              <w:top w:w="200" w:type="dxa"/>
              <w:left w:w="160" w:type="dxa"/>
              <w:bottom w:w="200" w:type="dxa"/>
              <w:right w:w="160" w:type="dxa"/>
            </w:tcMar>
            <w:vAlign w:val="center"/>
          </w:tcPr>
          <w:p w14:paraId="6E9B099A" w14:textId="77777777" w:rsidR="00D8194C" w:rsidRDefault="00000000">
            <w:pPr>
              <w:spacing w:after="40"/>
              <w:jc w:val="center"/>
            </w:pPr>
            <w:r>
              <w:rPr>
                <w:rFonts w:ascii="Georgia" w:eastAsia="Georgia" w:hAnsi="Georgia" w:cs="Georgia"/>
                <w:b/>
                <w:bCs/>
                <w:color w:val="7EAF4D"/>
                <w:sz w:val="40"/>
                <w:szCs w:val="40"/>
              </w:rPr>
              <w:t>7</w:t>
            </w:r>
          </w:p>
          <w:p w14:paraId="4CCC5746" w14:textId="77777777" w:rsidR="00D8194C" w:rsidRDefault="00000000">
            <w:pPr>
              <w:jc w:val="center"/>
            </w:pPr>
            <w:r>
              <w:rPr>
                <w:rFonts w:ascii="Calibri" w:eastAsia="Calibri" w:hAnsi="Calibri" w:cs="Calibri"/>
                <w:color w:val="FFFFFF"/>
                <w:sz w:val="16"/>
                <w:szCs w:val="16"/>
              </w:rPr>
              <w:t>Average Meetings to</w:t>
            </w:r>
          </w:p>
          <w:p w14:paraId="563CFBB5" w14:textId="77777777" w:rsidR="00D8194C" w:rsidRDefault="00000000">
            <w:pPr>
              <w:jc w:val="center"/>
            </w:pPr>
            <w:r>
              <w:rPr>
                <w:rFonts w:ascii="Calibri" w:eastAsia="Calibri" w:hAnsi="Calibri" w:cs="Calibri"/>
                <w:color w:val="FFFFFF"/>
                <w:sz w:val="16"/>
                <w:szCs w:val="16"/>
              </w:rPr>
              <w:t>Turn a Prospect into a Client</w:t>
            </w:r>
          </w:p>
        </w:tc>
        <w:tc>
          <w:tcPr>
            <w:tcW w:w="3600" w:type="dxa"/>
            <w:tcBorders>
              <w:top w:val="none" w:sz="0" w:space="0" w:color="FFFFFF"/>
              <w:left w:val="none" w:sz="0" w:space="0" w:color="FFFFFF"/>
              <w:bottom w:val="none" w:sz="0" w:space="0" w:color="FFFFFF"/>
              <w:right w:val="none" w:sz="0" w:space="0" w:color="FFFFFF"/>
            </w:tcBorders>
            <w:shd w:val="clear" w:color="auto" w:fill="2E4721"/>
            <w:tcMar>
              <w:top w:w="200" w:type="dxa"/>
              <w:left w:w="160" w:type="dxa"/>
              <w:bottom w:w="200" w:type="dxa"/>
              <w:right w:w="160" w:type="dxa"/>
            </w:tcMar>
            <w:vAlign w:val="center"/>
          </w:tcPr>
          <w:p w14:paraId="7C914271" w14:textId="77777777" w:rsidR="00D8194C" w:rsidRDefault="00000000">
            <w:pPr>
              <w:spacing w:after="40"/>
              <w:jc w:val="center"/>
            </w:pPr>
            <w:r>
              <w:rPr>
                <w:rFonts w:ascii="Georgia" w:eastAsia="Georgia" w:hAnsi="Georgia" w:cs="Georgia"/>
                <w:b/>
                <w:bCs/>
                <w:color w:val="7EAF4D"/>
                <w:sz w:val="40"/>
                <w:szCs w:val="40"/>
              </w:rPr>
              <w:t>3</w:t>
            </w:r>
          </w:p>
          <w:p w14:paraId="6BAED445" w14:textId="77777777" w:rsidR="00D8194C" w:rsidRDefault="00000000">
            <w:pPr>
              <w:jc w:val="center"/>
            </w:pPr>
            <w:r>
              <w:rPr>
                <w:rFonts w:ascii="Calibri" w:eastAsia="Calibri" w:hAnsi="Calibri" w:cs="Calibri"/>
                <w:color w:val="FFFFFF"/>
                <w:sz w:val="16"/>
                <w:szCs w:val="16"/>
              </w:rPr>
              <w:t>Pillars: Set Goals, Have a Plan,</w:t>
            </w:r>
          </w:p>
          <w:p w14:paraId="2D125893" w14:textId="77777777" w:rsidR="00D8194C" w:rsidRDefault="00000000">
            <w:pPr>
              <w:jc w:val="center"/>
            </w:pPr>
            <w:r>
              <w:rPr>
                <w:rFonts w:ascii="Calibri" w:eastAsia="Calibri" w:hAnsi="Calibri" w:cs="Calibri"/>
                <w:color w:val="FFFFFF"/>
                <w:sz w:val="16"/>
                <w:szCs w:val="16"/>
              </w:rPr>
              <w:t>Accountability Partner</w:t>
            </w:r>
          </w:p>
        </w:tc>
      </w:tr>
    </w:tbl>
    <w:p w14:paraId="363722DB" w14:textId="77777777" w:rsidR="00D8194C" w:rsidRDefault="00D8194C">
      <w:pPr>
        <w:spacing w:before="2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D8194C" w14:paraId="78868E9E" w14:textId="77777777">
        <w:tblPrEx>
          <w:tblCellMar>
            <w:top w:w="0" w:type="dxa"/>
            <w:bottom w:w="0" w:type="dxa"/>
          </w:tblCellMar>
        </w:tblPrEx>
        <w:tc>
          <w:tcPr>
            <w:tcW w:w="10800" w:type="dxa"/>
            <w:tcBorders>
              <w:top w:val="single" w:sz="4" w:space="0" w:color="A9C98A"/>
              <w:left w:val="single" w:sz="4" w:space="0" w:color="A9C98A"/>
              <w:bottom w:val="single" w:sz="4" w:space="0" w:color="A9C98A"/>
              <w:right w:val="single" w:sz="4" w:space="0" w:color="A9C98A"/>
            </w:tcBorders>
            <w:shd w:val="clear" w:color="auto" w:fill="F1F5EC"/>
            <w:tcMar>
              <w:top w:w="240" w:type="dxa"/>
              <w:left w:w="576" w:type="dxa"/>
              <w:bottom w:w="240" w:type="dxa"/>
              <w:right w:w="576" w:type="dxa"/>
            </w:tcMar>
            <w:vAlign w:val="center"/>
          </w:tcPr>
          <w:p w14:paraId="7C410E89" w14:textId="77777777" w:rsidR="00D8194C" w:rsidRDefault="00000000">
            <w:pPr>
              <w:spacing w:line="300" w:lineRule="auto"/>
              <w:jc w:val="center"/>
            </w:pPr>
            <w:r>
              <w:rPr>
                <w:rFonts w:ascii="Georgia" w:eastAsia="Georgia" w:hAnsi="Georgia" w:cs="Georgia"/>
                <w:i/>
                <w:iCs/>
                <w:color w:val="2E4721"/>
                <w:sz w:val="24"/>
                <w:szCs w:val="24"/>
              </w:rPr>
              <w:t>“People do business with people they like, trust, and need. Organic growth comes from intentional activity that’s consistent and repeatable.”</w:t>
            </w:r>
          </w:p>
          <w:p w14:paraId="66D79BF2" w14:textId="77777777" w:rsidR="00D8194C" w:rsidRDefault="00000000">
            <w:pPr>
              <w:spacing w:before="120"/>
              <w:jc w:val="center"/>
            </w:pPr>
            <w:r>
              <w:rPr>
                <w:rFonts w:ascii="Calibri" w:eastAsia="Calibri" w:hAnsi="Calibri" w:cs="Calibri"/>
                <w:b/>
                <w:bCs/>
                <w:color w:val="6B8A4F"/>
                <w:sz w:val="19"/>
                <w:szCs w:val="19"/>
              </w:rPr>
              <w:t>— BRIAN SULLIVAN, Founder</w:t>
            </w:r>
          </w:p>
        </w:tc>
      </w:tr>
    </w:tbl>
    <w:p w14:paraId="5D1A3F54" w14:textId="77777777" w:rsidR="00D8194C" w:rsidRDefault="00D8194C">
      <w:pPr>
        <w:spacing w:before="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D8194C" w14:paraId="6A688164"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2E4721"/>
            <w:tcMar>
              <w:top w:w="220" w:type="dxa"/>
              <w:left w:w="720" w:type="dxa"/>
              <w:bottom w:w="220" w:type="dxa"/>
              <w:right w:w="720" w:type="dxa"/>
            </w:tcMar>
            <w:vAlign w:val="center"/>
          </w:tcPr>
          <w:p w14:paraId="52FC63FD" w14:textId="77777777" w:rsidR="00D8194C" w:rsidRDefault="00000000">
            <w:pPr>
              <w:spacing w:after="90"/>
            </w:pPr>
            <w:r>
              <w:rPr>
                <w:rFonts w:ascii="Georgia" w:eastAsia="Georgia" w:hAnsi="Georgia" w:cs="Georgia"/>
                <w:b/>
                <w:bCs/>
                <w:color w:val="FFFFFF"/>
                <w:sz w:val="27"/>
                <w:szCs w:val="27"/>
              </w:rPr>
              <w:t>Ready to build a stronger practice?</w:t>
            </w:r>
          </w:p>
          <w:p w14:paraId="3794BF05" w14:textId="77777777" w:rsidR="00D8194C" w:rsidRDefault="00000000">
            <w:pPr>
              <w:spacing w:after="50"/>
            </w:pPr>
            <w:r>
              <w:rPr>
                <w:rFonts w:ascii="Calibri" w:eastAsia="Calibri" w:hAnsi="Calibri" w:cs="Calibri"/>
                <w:color w:val="F1F5EC"/>
                <w:sz w:val="19"/>
                <w:szCs w:val="19"/>
              </w:rPr>
              <w:t xml:space="preserve">Brian </w:t>
            </w:r>
            <w:proofErr w:type="gramStart"/>
            <w:r>
              <w:rPr>
                <w:rFonts w:ascii="Calibri" w:eastAsia="Calibri" w:hAnsi="Calibri" w:cs="Calibri"/>
                <w:color w:val="F1F5EC"/>
                <w:sz w:val="19"/>
                <w:szCs w:val="19"/>
              </w:rPr>
              <w:t>Sullivan  |</w:t>
            </w:r>
            <w:proofErr w:type="gramEnd"/>
            <w:r>
              <w:rPr>
                <w:rFonts w:ascii="Calibri" w:eastAsia="Calibri" w:hAnsi="Calibri" w:cs="Calibri"/>
                <w:color w:val="F1F5EC"/>
                <w:sz w:val="19"/>
                <w:szCs w:val="19"/>
              </w:rPr>
              <w:t xml:space="preserve">  Peak Performance Advisor Consulting</w:t>
            </w:r>
          </w:p>
          <w:p w14:paraId="6071020C" w14:textId="77777777" w:rsidR="00D8194C" w:rsidRDefault="00000000">
            <w:r>
              <w:rPr>
                <w:rFonts w:ascii="Calibri" w:eastAsia="Calibri" w:hAnsi="Calibri" w:cs="Calibri"/>
                <w:b/>
                <w:bCs/>
                <w:color w:val="7EAF4D"/>
                <w:sz w:val="18"/>
                <w:szCs w:val="18"/>
              </w:rPr>
              <w:t>412.760.0803</w:t>
            </w:r>
            <w:r>
              <w:rPr>
                <w:rFonts w:ascii="Calibri" w:eastAsia="Calibri" w:hAnsi="Calibri" w:cs="Calibri"/>
                <w:color w:val="F1F5EC"/>
                <w:sz w:val="18"/>
                <w:szCs w:val="18"/>
              </w:rPr>
              <w:t xml:space="preserve">   |   </w:t>
            </w:r>
            <w:r>
              <w:rPr>
                <w:rFonts w:ascii="Calibri" w:eastAsia="Calibri" w:hAnsi="Calibri" w:cs="Calibri"/>
                <w:b/>
                <w:bCs/>
                <w:color w:val="7EAF4D"/>
                <w:sz w:val="18"/>
                <w:szCs w:val="18"/>
              </w:rPr>
              <w:t>Brian@PeakPerformanceAdvisorConsulting.com</w:t>
            </w:r>
            <w:r>
              <w:rPr>
                <w:rFonts w:ascii="Calibri" w:eastAsia="Calibri" w:hAnsi="Calibri" w:cs="Calibri"/>
                <w:color w:val="F1F5EC"/>
                <w:sz w:val="18"/>
                <w:szCs w:val="18"/>
              </w:rPr>
              <w:t xml:space="preserve">   |   </w:t>
            </w:r>
            <w:r>
              <w:rPr>
                <w:rFonts w:ascii="Calibri" w:eastAsia="Calibri" w:hAnsi="Calibri" w:cs="Calibri"/>
                <w:b/>
                <w:bCs/>
                <w:color w:val="7EAF4D"/>
                <w:sz w:val="18"/>
                <w:szCs w:val="18"/>
              </w:rPr>
              <w:t>www.PeakPerformanceAdvisorConsulting.com</w:t>
            </w:r>
          </w:p>
        </w:tc>
      </w:tr>
    </w:tbl>
    <w:p w14:paraId="4638BCE8" w14:textId="77777777" w:rsidR="00117BD5" w:rsidRDefault="00117BD5"/>
    <w:sectPr w:rsidR="00117BD5">
      <w:pgSz w:w="12240" w:h="15840"/>
      <w:pgMar w:top="0" w:right="720" w:bottom="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11B6E"/>
    <w:multiLevelType w:val="hybridMultilevel"/>
    <w:tmpl w:val="EC7E3E9E"/>
    <w:lvl w:ilvl="0" w:tplc="C77A1DCA">
      <w:start w:val="1"/>
      <w:numFmt w:val="bullet"/>
      <w:lvlText w:val="●"/>
      <w:lvlJc w:val="left"/>
      <w:pPr>
        <w:ind w:left="720" w:hanging="360"/>
      </w:pPr>
    </w:lvl>
    <w:lvl w:ilvl="1" w:tplc="3B826B40">
      <w:start w:val="1"/>
      <w:numFmt w:val="bullet"/>
      <w:lvlText w:val="○"/>
      <w:lvlJc w:val="left"/>
      <w:pPr>
        <w:ind w:left="1440" w:hanging="360"/>
      </w:pPr>
    </w:lvl>
    <w:lvl w:ilvl="2" w:tplc="D2208C64">
      <w:start w:val="1"/>
      <w:numFmt w:val="bullet"/>
      <w:lvlText w:val="■"/>
      <w:lvlJc w:val="left"/>
      <w:pPr>
        <w:ind w:left="2160" w:hanging="360"/>
      </w:pPr>
    </w:lvl>
    <w:lvl w:ilvl="3" w:tplc="7F429442">
      <w:start w:val="1"/>
      <w:numFmt w:val="bullet"/>
      <w:lvlText w:val="●"/>
      <w:lvlJc w:val="left"/>
      <w:pPr>
        <w:ind w:left="2880" w:hanging="360"/>
      </w:pPr>
    </w:lvl>
    <w:lvl w:ilvl="4" w:tplc="30BA989C">
      <w:start w:val="1"/>
      <w:numFmt w:val="bullet"/>
      <w:lvlText w:val="○"/>
      <w:lvlJc w:val="left"/>
      <w:pPr>
        <w:ind w:left="3600" w:hanging="360"/>
      </w:pPr>
    </w:lvl>
    <w:lvl w:ilvl="5" w:tplc="1276B434">
      <w:start w:val="1"/>
      <w:numFmt w:val="bullet"/>
      <w:lvlText w:val="■"/>
      <w:lvlJc w:val="left"/>
      <w:pPr>
        <w:ind w:left="4320" w:hanging="360"/>
      </w:pPr>
    </w:lvl>
    <w:lvl w:ilvl="6" w:tplc="A0FA0F82">
      <w:start w:val="1"/>
      <w:numFmt w:val="bullet"/>
      <w:lvlText w:val="●"/>
      <w:lvlJc w:val="left"/>
      <w:pPr>
        <w:ind w:left="5040" w:hanging="360"/>
      </w:pPr>
    </w:lvl>
    <w:lvl w:ilvl="7" w:tplc="44C6B0DE">
      <w:start w:val="1"/>
      <w:numFmt w:val="bullet"/>
      <w:lvlText w:val="●"/>
      <w:lvlJc w:val="left"/>
      <w:pPr>
        <w:ind w:left="5760" w:hanging="360"/>
      </w:pPr>
    </w:lvl>
    <w:lvl w:ilvl="8" w:tplc="C6D8FF02">
      <w:start w:val="1"/>
      <w:numFmt w:val="bullet"/>
      <w:lvlText w:val="●"/>
      <w:lvlJc w:val="left"/>
      <w:pPr>
        <w:ind w:left="6480" w:hanging="360"/>
      </w:pPr>
    </w:lvl>
  </w:abstractNum>
  <w:num w:numId="1" w16cid:durableId="9671309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94C"/>
    <w:rsid w:val="00117BD5"/>
    <w:rsid w:val="00180612"/>
    <w:rsid w:val="006312CF"/>
    <w:rsid w:val="00D81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D00B85"/>
  <w15:docId w15:val="{AF714212-7588-444A-8654-C356F484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300</Words>
  <Characters>1858</Characters>
  <Application>Microsoft Office Word</Application>
  <DocSecurity>0</DocSecurity>
  <Lines>51</Lines>
  <Paragraphs>29</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Brian Sullivan</cp:lastModifiedBy>
  <cp:revision>2</cp:revision>
  <dcterms:created xsi:type="dcterms:W3CDTF">2026-09-02T20:53:00Z</dcterms:created>
  <dcterms:modified xsi:type="dcterms:W3CDTF">2026-09-02T20:53:00Z</dcterms:modified>
</cp:coreProperties>
</file>